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1D2787" w14:textId="77777777" w:rsidR="000043B9" w:rsidRDefault="00000000">
      <w:pPr>
        <w:jc w:val="center"/>
        <w:rPr>
          <w:rFonts w:ascii="Mali" w:eastAsia="Mali" w:hAnsi="Mali" w:cs="Mali"/>
          <w:b/>
          <w:sz w:val="42"/>
          <w:szCs w:val="42"/>
        </w:rPr>
      </w:pPr>
      <w:r>
        <w:rPr>
          <w:rFonts w:ascii="Mali" w:eastAsia="Mali" w:hAnsi="Mali" w:cs="Mali"/>
          <w:b/>
          <w:sz w:val="42"/>
          <w:szCs w:val="42"/>
        </w:rPr>
        <w:t xml:space="preserve">Dal y Gwynt - Eye of the Storm </w:t>
      </w:r>
    </w:p>
    <w:p w14:paraId="0A824641" w14:textId="77777777" w:rsidR="000043B9" w:rsidRDefault="000043B9">
      <w:pPr>
        <w:jc w:val="center"/>
        <w:rPr>
          <w:rFonts w:ascii="Mali" w:eastAsia="Mali" w:hAnsi="Mali" w:cs="Mali"/>
          <w:b/>
          <w:sz w:val="42"/>
          <w:szCs w:val="42"/>
        </w:rPr>
      </w:pPr>
    </w:p>
    <w:tbl>
      <w:tblPr>
        <w:tblStyle w:val="a"/>
        <w:tblW w:w="1447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30"/>
        <w:gridCol w:w="2955"/>
        <w:gridCol w:w="8190"/>
      </w:tblGrid>
      <w:tr w:rsidR="000043B9" w14:paraId="7041B806" w14:textId="77777777">
        <w:trPr>
          <w:trHeight w:val="620"/>
          <w:jc w:val="center"/>
        </w:trPr>
        <w:tc>
          <w:tcPr>
            <w:tcW w:w="1447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DE7C8" w14:textId="77777777" w:rsidR="000043B9" w:rsidRDefault="00000000">
            <w:pPr>
              <w:widowControl w:val="0"/>
              <w:spacing w:line="240" w:lineRule="auto"/>
              <w:jc w:val="center"/>
              <w:rPr>
                <w:rFonts w:ascii="Mali" w:eastAsia="Mali" w:hAnsi="Mali" w:cs="Mali"/>
                <w:b/>
                <w:sz w:val="28"/>
                <w:szCs w:val="28"/>
              </w:rPr>
            </w:pPr>
            <w:r>
              <w:rPr>
                <w:rFonts w:ascii="Mali" w:eastAsia="Mali" w:hAnsi="Mali" w:cs="Mali"/>
                <w:b/>
                <w:sz w:val="28"/>
                <w:szCs w:val="28"/>
              </w:rPr>
              <w:t xml:space="preserve">Theme Name: Resilience </w:t>
            </w:r>
          </w:p>
        </w:tc>
      </w:tr>
      <w:tr w:rsidR="000043B9" w14:paraId="1B071C57" w14:textId="77777777">
        <w:trPr>
          <w:jc w:val="center"/>
        </w:trPr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3DAC40" w14:textId="77777777" w:rsidR="000043B9" w:rsidRDefault="00000000">
            <w:pPr>
              <w:widowControl w:val="0"/>
              <w:spacing w:line="240" w:lineRule="auto"/>
              <w:jc w:val="center"/>
              <w:rPr>
                <w:rFonts w:ascii="Mali" w:eastAsia="Mali" w:hAnsi="Mali" w:cs="Mali"/>
                <w:b/>
                <w:sz w:val="28"/>
                <w:szCs w:val="28"/>
              </w:rPr>
            </w:pPr>
            <w:r>
              <w:rPr>
                <w:rFonts w:ascii="Mali" w:eastAsia="Mali" w:hAnsi="Mali" w:cs="Mali"/>
                <w:b/>
                <w:sz w:val="28"/>
                <w:szCs w:val="28"/>
              </w:rPr>
              <w:t>AOLE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5E6A5" w14:textId="77777777" w:rsidR="000043B9" w:rsidRDefault="00000000">
            <w:pPr>
              <w:widowControl w:val="0"/>
              <w:spacing w:line="240" w:lineRule="auto"/>
              <w:jc w:val="center"/>
              <w:rPr>
                <w:rFonts w:ascii="Mali" w:eastAsia="Mali" w:hAnsi="Mali" w:cs="Mali"/>
                <w:b/>
                <w:sz w:val="28"/>
                <w:szCs w:val="28"/>
              </w:rPr>
            </w:pPr>
            <w:r>
              <w:rPr>
                <w:rFonts w:ascii="Mali" w:eastAsia="Mali" w:hAnsi="Mali" w:cs="Mali"/>
                <w:b/>
                <w:sz w:val="28"/>
                <w:szCs w:val="28"/>
              </w:rPr>
              <w:t>Theme</w:t>
            </w:r>
          </w:p>
        </w:tc>
        <w:tc>
          <w:tcPr>
            <w:tcW w:w="8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6E2827" w14:textId="77777777" w:rsidR="000043B9" w:rsidRDefault="00000000">
            <w:pPr>
              <w:widowControl w:val="0"/>
              <w:spacing w:line="240" w:lineRule="auto"/>
              <w:jc w:val="center"/>
              <w:rPr>
                <w:rFonts w:ascii="Mali" w:eastAsia="Mali" w:hAnsi="Mali" w:cs="Mali"/>
                <w:b/>
                <w:sz w:val="28"/>
                <w:szCs w:val="28"/>
              </w:rPr>
            </w:pPr>
            <w:r>
              <w:rPr>
                <w:rFonts w:ascii="Mali" w:eastAsia="Mali" w:hAnsi="Mali" w:cs="Mali"/>
                <w:b/>
                <w:sz w:val="28"/>
                <w:szCs w:val="28"/>
              </w:rPr>
              <w:t>Suggested learning experiences:</w:t>
            </w:r>
          </w:p>
        </w:tc>
      </w:tr>
      <w:tr w:rsidR="000043B9" w14:paraId="4A073214" w14:textId="77777777">
        <w:trPr>
          <w:jc w:val="center"/>
        </w:trPr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D6E39C" w14:textId="77777777" w:rsidR="000043B9" w:rsidRDefault="00000000">
            <w:pPr>
              <w:widowControl w:val="0"/>
              <w:spacing w:line="240" w:lineRule="auto"/>
              <w:jc w:val="center"/>
              <w:rPr>
                <w:rFonts w:ascii="Mali" w:eastAsia="Mali" w:hAnsi="Mali" w:cs="Mali"/>
                <w:b/>
                <w:sz w:val="30"/>
                <w:szCs w:val="30"/>
              </w:rPr>
            </w:pPr>
            <w:r>
              <w:rPr>
                <w:rFonts w:ascii="Mali" w:eastAsia="Mali" w:hAnsi="Mali" w:cs="Mali"/>
                <w:b/>
                <w:sz w:val="30"/>
                <w:szCs w:val="30"/>
              </w:rPr>
              <w:t>Health and Well being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6C5BE" w14:textId="77777777" w:rsidR="000043B9" w:rsidRDefault="00000000">
            <w:pPr>
              <w:widowControl w:val="0"/>
              <w:spacing w:line="240" w:lineRule="auto"/>
              <w:jc w:val="center"/>
              <w:rPr>
                <w:rFonts w:ascii="Mali" w:eastAsia="Mali" w:hAnsi="Mali" w:cs="Mali"/>
                <w:b/>
                <w:sz w:val="28"/>
                <w:szCs w:val="28"/>
              </w:rPr>
            </w:pPr>
            <w:r>
              <w:rPr>
                <w:rFonts w:ascii="Mali" w:eastAsia="Mali" w:hAnsi="Mali" w:cs="Mali"/>
                <w:b/>
                <w:sz w:val="28"/>
                <w:szCs w:val="28"/>
              </w:rPr>
              <w:t>What is resilience?</w:t>
            </w:r>
          </w:p>
        </w:tc>
        <w:tc>
          <w:tcPr>
            <w:tcW w:w="8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3CDD6B" w14:textId="77777777" w:rsidR="000043B9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Mali" w:eastAsia="Mali" w:hAnsi="Mali" w:cs="Mali"/>
                <w:sz w:val="28"/>
                <w:szCs w:val="28"/>
              </w:rPr>
            </w:pPr>
            <w:hyperlink r:id="rId5">
              <w:r>
                <w:rPr>
                  <w:rFonts w:ascii="Mali" w:eastAsia="Mali" w:hAnsi="Mali" w:cs="Mali"/>
                  <w:color w:val="1155CC"/>
                  <w:sz w:val="28"/>
                  <w:szCs w:val="28"/>
                  <w:u w:val="single"/>
                </w:rPr>
                <w:t>The Resilient Classroom | Mentally Healthy Schools</w:t>
              </w:r>
            </w:hyperlink>
            <w:r>
              <w:rPr>
                <w:rFonts w:ascii="Mali" w:eastAsia="Mali" w:hAnsi="Mali" w:cs="Mali"/>
                <w:sz w:val="28"/>
                <w:szCs w:val="28"/>
              </w:rPr>
              <w:t xml:space="preserve"> - Teaching resource about resilience</w:t>
            </w:r>
          </w:p>
        </w:tc>
      </w:tr>
      <w:tr w:rsidR="000043B9" w14:paraId="07ECBAA7" w14:textId="77777777">
        <w:trPr>
          <w:jc w:val="center"/>
        </w:trPr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90BCD" w14:textId="77777777" w:rsidR="000043B9" w:rsidRDefault="000043B9">
            <w:pPr>
              <w:widowControl w:val="0"/>
              <w:spacing w:line="240" w:lineRule="auto"/>
              <w:jc w:val="center"/>
              <w:rPr>
                <w:rFonts w:ascii="Mali" w:eastAsia="Mali" w:hAnsi="Mali" w:cs="Mali"/>
                <w:b/>
                <w:sz w:val="28"/>
                <w:szCs w:val="28"/>
              </w:rPr>
            </w:pP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6657B" w14:textId="77777777" w:rsidR="000043B9" w:rsidRDefault="000043B9">
            <w:pPr>
              <w:widowControl w:val="0"/>
              <w:spacing w:line="240" w:lineRule="auto"/>
              <w:jc w:val="center"/>
              <w:rPr>
                <w:rFonts w:ascii="Mali" w:eastAsia="Mali" w:hAnsi="Mali" w:cs="Mali"/>
                <w:b/>
                <w:sz w:val="28"/>
                <w:szCs w:val="28"/>
              </w:rPr>
            </w:pPr>
          </w:p>
        </w:tc>
        <w:tc>
          <w:tcPr>
            <w:tcW w:w="8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FE765" w14:textId="77777777" w:rsidR="000043B9" w:rsidRDefault="000043B9">
            <w:pPr>
              <w:widowControl w:val="0"/>
              <w:spacing w:line="240" w:lineRule="auto"/>
              <w:rPr>
                <w:rFonts w:ascii="Mali" w:eastAsia="Mali" w:hAnsi="Mali" w:cs="Mali"/>
                <w:sz w:val="28"/>
                <w:szCs w:val="28"/>
              </w:rPr>
            </w:pPr>
          </w:p>
        </w:tc>
      </w:tr>
      <w:tr w:rsidR="000043B9" w14:paraId="5C8D1EB3" w14:textId="77777777">
        <w:trPr>
          <w:jc w:val="center"/>
        </w:trPr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14B8C" w14:textId="77777777" w:rsidR="000043B9" w:rsidRDefault="000043B9">
            <w:pPr>
              <w:widowControl w:val="0"/>
              <w:spacing w:line="240" w:lineRule="auto"/>
              <w:jc w:val="center"/>
              <w:rPr>
                <w:rFonts w:ascii="Mali" w:eastAsia="Mali" w:hAnsi="Mali" w:cs="Mali"/>
                <w:b/>
                <w:sz w:val="28"/>
                <w:szCs w:val="28"/>
              </w:rPr>
            </w:pP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7BFA26" w14:textId="77777777" w:rsidR="000043B9" w:rsidRDefault="00000000">
            <w:pPr>
              <w:widowControl w:val="0"/>
              <w:spacing w:line="240" w:lineRule="auto"/>
              <w:rPr>
                <w:rFonts w:ascii="Mali" w:eastAsia="Mali" w:hAnsi="Mali" w:cs="Mali"/>
                <w:b/>
                <w:sz w:val="28"/>
                <w:szCs w:val="28"/>
              </w:rPr>
            </w:pPr>
            <w:r>
              <w:rPr>
                <w:rFonts w:ascii="Mali" w:eastAsia="Mali" w:hAnsi="Mali" w:cs="Mali"/>
                <w:b/>
                <w:sz w:val="28"/>
                <w:szCs w:val="28"/>
              </w:rPr>
              <w:t>Using art to be more resilient</w:t>
            </w:r>
          </w:p>
        </w:tc>
        <w:tc>
          <w:tcPr>
            <w:tcW w:w="8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3857CD" w14:textId="77777777" w:rsidR="000043B9" w:rsidRDefault="00000000">
            <w:pPr>
              <w:widowControl w:val="0"/>
              <w:spacing w:before="240" w:after="240" w:line="240" w:lineRule="auto"/>
              <w:rPr>
                <w:rFonts w:ascii="Mali" w:eastAsia="Mali" w:hAnsi="Mali" w:cs="Mali"/>
                <w:sz w:val="28"/>
                <w:szCs w:val="28"/>
              </w:rPr>
            </w:pPr>
            <w:hyperlink r:id="rId6">
              <w:r>
                <w:rPr>
                  <w:rFonts w:ascii="Mali" w:eastAsia="Mali" w:hAnsi="Mali" w:cs="Mali"/>
                  <w:color w:val="1155CC"/>
                  <w:sz w:val="28"/>
                  <w:szCs w:val="28"/>
                  <w:u w:val="single"/>
                </w:rPr>
                <w:t>Art activities from The Art Room - Place2Be</w:t>
              </w:r>
            </w:hyperlink>
            <w:r>
              <w:rPr>
                <w:rFonts w:ascii="Mali" w:eastAsia="Mali" w:hAnsi="Mali" w:cs="Mali"/>
                <w:sz w:val="28"/>
                <w:szCs w:val="28"/>
              </w:rPr>
              <w:t xml:space="preserve"> - Resources from the Art room to help with personal growth, resilience and reflection.</w:t>
            </w:r>
          </w:p>
        </w:tc>
      </w:tr>
      <w:tr w:rsidR="000043B9" w14:paraId="424D700E" w14:textId="77777777">
        <w:trPr>
          <w:jc w:val="center"/>
        </w:trPr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FA0F4" w14:textId="77777777" w:rsidR="000043B9" w:rsidRDefault="000043B9">
            <w:pPr>
              <w:widowControl w:val="0"/>
              <w:spacing w:line="240" w:lineRule="auto"/>
              <w:jc w:val="center"/>
              <w:rPr>
                <w:rFonts w:ascii="Mali" w:eastAsia="Mali" w:hAnsi="Mali" w:cs="Mali"/>
                <w:b/>
                <w:sz w:val="28"/>
                <w:szCs w:val="28"/>
              </w:rPr>
            </w:pP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E8802" w14:textId="77777777" w:rsidR="000043B9" w:rsidRDefault="00000000">
            <w:pPr>
              <w:widowControl w:val="0"/>
              <w:spacing w:line="240" w:lineRule="auto"/>
              <w:jc w:val="center"/>
              <w:rPr>
                <w:rFonts w:ascii="Mali" w:eastAsia="Mali" w:hAnsi="Mali" w:cs="Mali"/>
                <w:b/>
                <w:sz w:val="28"/>
                <w:szCs w:val="28"/>
              </w:rPr>
            </w:pPr>
            <w:r>
              <w:rPr>
                <w:rFonts w:ascii="Mali" w:eastAsia="Mali" w:hAnsi="Mali" w:cs="Mali"/>
                <w:b/>
                <w:sz w:val="28"/>
                <w:szCs w:val="28"/>
              </w:rPr>
              <w:t xml:space="preserve">Coping with Difficult Situations </w:t>
            </w:r>
          </w:p>
        </w:tc>
        <w:tc>
          <w:tcPr>
            <w:tcW w:w="8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486A1" w14:textId="77777777" w:rsidR="000043B9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Mali" w:eastAsia="Mali" w:hAnsi="Mali" w:cs="Mali"/>
                <w:sz w:val="28"/>
                <w:szCs w:val="28"/>
              </w:rPr>
            </w:pPr>
            <w:hyperlink r:id="rId7">
              <w:r>
                <w:rPr>
                  <w:rFonts w:ascii="Mali" w:eastAsia="Mali" w:hAnsi="Mali" w:cs="Mali"/>
                  <w:color w:val="1155CC"/>
                  <w:sz w:val="28"/>
                  <w:szCs w:val="28"/>
                  <w:u w:val="single"/>
                </w:rPr>
                <w:t>https://www.samaritans.org/how-we-can-help/schools/deal/deal-resources/coping-strategies/deal-building-resilience/?gad_source=1&amp;gad_campaignid=945644338&amp;gbraid=0AAAAAD-VeVE0xy1eWl47AM6YU-Xi1YVV6&amp;gclid=CjwKCAjwr5_CBhBlEiwAzfwYuGAudeJtBalP6PiGITuRXVZkebOjQ9H-</w:t>
              </w:r>
              <w:r>
                <w:rPr>
                  <w:rFonts w:ascii="Mali" w:eastAsia="Mali" w:hAnsi="Mali" w:cs="Mali"/>
                  <w:color w:val="1155CC"/>
                  <w:sz w:val="28"/>
                  <w:szCs w:val="28"/>
                  <w:u w:val="single"/>
                </w:rPr>
                <w:lastRenderedPageBreak/>
                <w:t>VTdgGmA0Fn4qtaZeo3BF0BoCuVAQAvD_BwE</w:t>
              </w:r>
            </w:hyperlink>
            <w:r>
              <w:rPr>
                <w:rFonts w:ascii="Mali" w:eastAsia="Mali" w:hAnsi="Mali" w:cs="Mali"/>
                <w:sz w:val="28"/>
                <w:szCs w:val="28"/>
              </w:rPr>
              <w:t xml:space="preserve"> - potential resource for looking at coping strategies and building resilience in difficult situations. (note to teachers - watch the video before using to assess how your class will respond to the themes)</w:t>
            </w:r>
          </w:p>
        </w:tc>
      </w:tr>
      <w:tr w:rsidR="000043B9" w14:paraId="1FFB13E8" w14:textId="77777777">
        <w:trPr>
          <w:jc w:val="center"/>
        </w:trPr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0B150" w14:textId="77777777" w:rsidR="000043B9" w:rsidRDefault="00000000">
            <w:pPr>
              <w:widowControl w:val="0"/>
              <w:spacing w:line="240" w:lineRule="auto"/>
              <w:jc w:val="center"/>
              <w:rPr>
                <w:rFonts w:ascii="Mali" w:eastAsia="Mali" w:hAnsi="Mali" w:cs="Mali"/>
                <w:sz w:val="28"/>
                <w:szCs w:val="28"/>
              </w:rPr>
            </w:pPr>
            <w:r>
              <w:rPr>
                <w:rFonts w:ascii="Mali" w:eastAsia="Mali" w:hAnsi="Mali" w:cs="Mali"/>
                <w:sz w:val="28"/>
                <w:szCs w:val="28"/>
              </w:rPr>
              <w:lastRenderedPageBreak/>
              <w:t>LLC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2F16F0" w14:textId="77777777" w:rsidR="000043B9" w:rsidRDefault="00000000">
            <w:pPr>
              <w:widowControl w:val="0"/>
              <w:spacing w:line="240" w:lineRule="auto"/>
              <w:jc w:val="center"/>
              <w:rPr>
                <w:rFonts w:ascii="Mali" w:eastAsia="Mali" w:hAnsi="Mali" w:cs="Mali"/>
                <w:b/>
                <w:sz w:val="28"/>
                <w:szCs w:val="28"/>
              </w:rPr>
            </w:pPr>
            <w:r>
              <w:rPr>
                <w:rFonts w:ascii="Mali" w:eastAsia="Mali" w:hAnsi="Mali" w:cs="Mali"/>
                <w:b/>
                <w:sz w:val="28"/>
                <w:szCs w:val="28"/>
              </w:rPr>
              <w:t>Reading book suggestions</w:t>
            </w:r>
          </w:p>
        </w:tc>
        <w:tc>
          <w:tcPr>
            <w:tcW w:w="8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8FDCF6" w14:textId="77777777" w:rsidR="000043B9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Mali" w:eastAsia="Mali" w:hAnsi="Mali" w:cs="Mali"/>
                <w:sz w:val="28"/>
                <w:szCs w:val="28"/>
              </w:rPr>
            </w:pPr>
            <w:hyperlink r:id="rId8">
              <w:r>
                <w:rPr>
                  <w:rFonts w:ascii="Mali" w:eastAsia="Mali" w:hAnsi="Mali" w:cs="Mali"/>
                  <w:color w:val="1155CC"/>
                  <w:sz w:val="28"/>
                  <w:szCs w:val="28"/>
                  <w:u w:val="single"/>
                </w:rPr>
                <w:t>https://schoolreadinglist.co.uk/genres/resilience/</w:t>
              </w:r>
            </w:hyperlink>
          </w:p>
          <w:p w14:paraId="231CB93D" w14:textId="77777777" w:rsidR="000043B9" w:rsidRDefault="00000000">
            <w:pPr>
              <w:widowControl w:val="0"/>
              <w:spacing w:line="240" w:lineRule="auto"/>
              <w:ind w:left="720"/>
              <w:rPr>
                <w:rFonts w:ascii="Mali" w:eastAsia="Mali" w:hAnsi="Mali" w:cs="Mali"/>
                <w:sz w:val="28"/>
                <w:szCs w:val="28"/>
              </w:rPr>
            </w:pPr>
            <w:r>
              <w:rPr>
                <w:rFonts w:ascii="Mali" w:eastAsia="Mali" w:hAnsi="Mali" w:cs="Mali"/>
                <w:sz w:val="28"/>
                <w:szCs w:val="28"/>
              </w:rPr>
              <w:t xml:space="preserve">Included in this list is </w:t>
            </w:r>
            <w:r>
              <w:rPr>
                <w:rFonts w:ascii="Mali" w:eastAsia="Mali" w:hAnsi="Mali" w:cs="Mali"/>
                <w:b/>
                <w:sz w:val="28"/>
                <w:szCs w:val="28"/>
              </w:rPr>
              <w:t xml:space="preserve">The Boy who Harnessed the wind. </w:t>
            </w:r>
            <w:r>
              <w:rPr>
                <w:rFonts w:ascii="Mali" w:eastAsia="Mali" w:hAnsi="Mali" w:cs="Mali"/>
                <w:sz w:val="28"/>
                <w:szCs w:val="28"/>
              </w:rPr>
              <w:t xml:space="preserve">You can see the film on Netflix. </w:t>
            </w:r>
            <w:r>
              <w:rPr>
                <w:rFonts w:ascii="Mali" w:eastAsia="Mali" w:hAnsi="Mali" w:cs="Mali"/>
                <w:b/>
                <w:sz w:val="28"/>
                <w:szCs w:val="28"/>
              </w:rPr>
              <w:t>It is a PG so you will need permission from home</w:t>
            </w:r>
            <w:r>
              <w:rPr>
                <w:rFonts w:ascii="Mali" w:eastAsia="Mali" w:hAnsi="Mali" w:cs="Mali"/>
                <w:sz w:val="28"/>
                <w:szCs w:val="28"/>
              </w:rPr>
              <w:t xml:space="preserve"> and it contains mild bad language, violence and sex references but is a wonderful film and I have shown it to Y6 pupils in the past.</w:t>
            </w:r>
          </w:p>
        </w:tc>
      </w:tr>
    </w:tbl>
    <w:p w14:paraId="0A267314" w14:textId="77777777" w:rsidR="000043B9" w:rsidRDefault="000043B9">
      <w:pPr>
        <w:jc w:val="center"/>
        <w:rPr>
          <w:rFonts w:ascii="Mali" w:eastAsia="Mali" w:hAnsi="Mali" w:cs="Mali"/>
          <w:b/>
          <w:sz w:val="28"/>
          <w:szCs w:val="28"/>
        </w:rPr>
      </w:pPr>
    </w:p>
    <w:p w14:paraId="001985BC" w14:textId="77777777" w:rsidR="000043B9" w:rsidRDefault="000043B9">
      <w:pPr>
        <w:rPr>
          <w:sz w:val="28"/>
          <w:szCs w:val="28"/>
        </w:rPr>
      </w:pPr>
    </w:p>
    <w:p w14:paraId="6E2C3681" w14:textId="77777777" w:rsidR="000043B9" w:rsidRDefault="000043B9"/>
    <w:sectPr w:rsidR="000043B9"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E18CA9B-EB4B-2841-B405-0A3A52096F7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18C9EF05-CF8D-F140-8C51-30BD59E5AD04}"/>
    <w:embedItalic r:id="rId3" w:fontKey="{3C71105E-3A2D-E347-86B7-977A791C9CAF}"/>
  </w:font>
  <w:font w:name="Mali">
    <w:panose1 w:val="020B0604020202020204"/>
    <w:charset w:val="00"/>
    <w:family w:val="auto"/>
    <w:pitch w:val="default"/>
    <w:embedRegular r:id="rId4" w:fontKey="{ACAE3849-D5EC-404A-B933-E492E52AEDFA}"/>
    <w:embedBold r:id="rId5" w:fontKey="{246D3699-7BF7-7742-B61C-8CA67EB6D86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82C49182-0D5B-7D4F-9B49-741498EFB304}"/>
  </w:font>
  <w:font w:name="Cambria">
    <w:panose1 w:val="02040503050406030204"/>
    <w:charset w:val="00"/>
    <w:family w:val="roman"/>
    <w:notTrueType/>
    <w:pitch w:val="default"/>
    <w:embedRegular r:id="rId7" w:fontKey="{B7B7AE37-2450-7341-8420-32E44DCF78F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41E3D"/>
    <w:multiLevelType w:val="multilevel"/>
    <w:tmpl w:val="89F61C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7F90D06"/>
    <w:multiLevelType w:val="multilevel"/>
    <w:tmpl w:val="A3708F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E024480"/>
    <w:multiLevelType w:val="multilevel"/>
    <w:tmpl w:val="454843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95B0484"/>
    <w:multiLevelType w:val="multilevel"/>
    <w:tmpl w:val="ECAACF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3B7235D"/>
    <w:multiLevelType w:val="multilevel"/>
    <w:tmpl w:val="BF5A7E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7F8244E"/>
    <w:multiLevelType w:val="multilevel"/>
    <w:tmpl w:val="FEE2C4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66890605">
    <w:abstractNumId w:val="1"/>
  </w:num>
  <w:num w:numId="2" w16cid:durableId="1678196015">
    <w:abstractNumId w:val="2"/>
  </w:num>
  <w:num w:numId="3" w16cid:durableId="485391299">
    <w:abstractNumId w:val="3"/>
  </w:num>
  <w:num w:numId="4" w16cid:durableId="1507788771">
    <w:abstractNumId w:val="0"/>
  </w:num>
  <w:num w:numId="5" w16cid:durableId="1603613581">
    <w:abstractNumId w:val="4"/>
  </w:num>
  <w:num w:numId="6" w16cid:durableId="93351447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43B9"/>
    <w:rsid w:val="000043B9"/>
    <w:rsid w:val="00C51912"/>
    <w:rsid w:val="00FE2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FC4393C"/>
  <w15:docId w15:val="{34E3310B-86BC-D148-84CB-50655FE5E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y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choolreadinglist.co.uk/genres/resilience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samaritans.org/how-we-can-help/schools/deal/deal-resources/coping-strategies/deal-building-resilience/?gad_source=1&amp;gad_campaignid=945644338&amp;gbraid=0AAAAAD-VeVE0xy1eWl47AM6YU-Xi1YVV6&amp;gclid=CjwKCAjwr5_CBhBlEiwAzfwYuGAudeJtBalP6PiGITuRXVZkebOjQ9H-VTdgGmA0Fn4qtaZeo3BF0BoCuVAQAvD_Bw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place2be.org.uk/our-services/parents-and-carers/wellbeing-resources-for-families/activities-from-the-art-room/" TargetMode="External"/><Relationship Id="rId5" Type="http://schemas.openxmlformats.org/officeDocument/2006/relationships/hyperlink" Target="https://www.mentallyhealthyschools.org.uk/media/2229/the-resilient-classroom.pdf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285</Words>
  <Characters>1626</Characters>
  <Application>Microsoft Office Word</Application>
  <DocSecurity>0</DocSecurity>
  <Lines>13</Lines>
  <Paragraphs>3</Paragraphs>
  <ScaleCrop>false</ScaleCrop>
  <Company/>
  <LinksUpToDate>false</LinksUpToDate>
  <CharactersWithSpaces>1908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Sebastian Harker</cp:lastModifiedBy>
  <cp:revision>2</cp:revision>
  <dcterms:created xsi:type="dcterms:W3CDTF">2025-06-27T14:01:00Z</dcterms:created>
  <dcterms:modified xsi:type="dcterms:W3CDTF">2025-06-27T14:01:00Z</dcterms:modified>
</cp:coreProperties>
</file>