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b w:val="1"/>
          <w:color w:val="0000ff"/>
          <w:sz w:val="96"/>
          <w:szCs w:val="96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sz w:val="96"/>
          <w:szCs w:val="96"/>
          <w:rtl w:val="0"/>
        </w:rPr>
        <w:t xml:space="preserve">The TASC Wheel</w:t>
      </w:r>
    </w:p>
    <w:p w:rsidR="00000000" w:rsidDel="00000000" w:rsidP="00000000" w:rsidRDefault="00000000" w:rsidRPr="00000000" w14:paraId="00000002">
      <w:pPr>
        <w:jc w:val="center"/>
        <w:rPr>
          <w:rFonts w:ascii="Comfortaa" w:cs="Comfortaa" w:eastAsia="Comfortaa" w:hAnsi="Comfortaa"/>
          <w:b w:val="1"/>
          <w:color w:val="0000ff"/>
          <w:sz w:val="96"/>
          <w:szCs w:val="96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sz w:val="96"/>
          <w:szCs w:val="96"/>
        </w:rPr>
        <w:drawing>
          <wp:inline distB="114300" distT="114300" distL="114300" distR="114300">
            <wp:extent cx="6858000" cy="3860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6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