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20E08" w14:textId="5BA65FFA" w:rsidR="009C13C9" w:rsidRDefault="00000000" w:rsidP="00CA5ECB">
      <w:pPr>
        <w:jc w:val="center"/>
        <w:rPr>
          <w:rFonts w:ascii="Mali" w:eastAsia="Mali" w:hAnsi="Mali" w:cs="Mali"/>
          <w:b/>
          <w:sz w:val="42"/>
          <w:szCs w:val="42"/>
        </w:rPr>
      </w:pPr>
      <w:r>
        <w:rPr>
          <w:rFonts w:ascii="Mali" w:eastAsia="Mali" w:hAnsi="Mali" w:cs="Mali"/>
          <w:b/>
          <w:sz w:val="42"/>
          <w:szCs w:val="42"/>
        </w:rPr>
        <w:t xml:space="preserve">Dal y Gwynt - Eye of the Storm </w:t>
      </w:r>
    </w:p>
    <w:tbl>
      <w:tblPr>
        <w:tblStyle w:val="a"/>
        <w:tblW w:w="141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715"/>
        <w:gridCol w:w="9165"/>
      </w:tblGrid>
      <w:tr w:rsidR="009C13C9" w14:paraId="64B6B23A" w14:textId="77777777">
        <w:trPr>
          <w:trHeight w:val="620"/>
          <w:jc w:val="center"/>
        </w:trPr>
        <w:tc>
          <w:tcPr>
            <w:tcW w:w="14115" w:type="dxa"/>
            <w:gridSpan w:val="3"/>
            <w:shd w:val="clear" w:color="auto" w:fill="auto"/>
            <w:tcMar>
              <w:top w:w="100" w:type="dxa"/>
              <w:left w:w="100" w:type="dxa"/>
              <w:bottom w:w="100" w:type="dxa"/>
              <w:right w:w="100" w:type="dxa"/>
            </w:tcMar>
          </w:tcPr>
          <w:p w14:paraId="6CB13121" w14:textId="77777777" w:rsidR="009C13C9" w:rsidRDefault="00000000">
            <w:pPr>
              <w:widowControl w:val="0"/>
              <w:spacing w:line="240" w:lineRule="auto"/>
              <w:jc w:val="center"/>
              <w:rPr>
                <w:rFonts w:ascii="Mali" w:eastAsia="Mali" w:hAnsi="Mali" w:cs="Mali"/>
                <w:b/>
                <w:sz w:val="42"/>
                <w:szCs w:val="42"/>
              </w:rPr>
            </w:pPr>
            <w:r>
              <w:rPr>
                <w:rFonts w:ascii="Mali" w:eastAsia="Mali" w:hAnsi="Mali" w:cs="Mali"/>
                <w:b/>
                <w:sz w:val="42"/>
                <w:szCs w:val="42"/>
              </w:rPr>
              <w:t xml:space="preserve">Theme Name: Young Carers </w:t>
            </w:r>
          </w:p>
        </w:tc>
      </w:tr>
      <w:tr w:rsidR="009C13C9" w14:paraId="7C6191DD" w14:textId="77777777">
        <w:trPr>
          <w:jc w:val="center"/>
        </w:trPr>
        <w:tc>
          <w:tcPr>
            <w:tcW w:w="2235" w:type="dxa"/>
            <w:shd w:val="clear" w:color="auto" w:fill="auto"/>
            <w:tcMar>
              <w:top w:w="100" w:type="dxa"/>
              <w:left w:w="100" w:type="dxa"/>
              <w:bottom w:w="100" w:type="dxa"/>
              <w:right w:w="100" w:type="dxa"/>
            </w:tcMar>
          </w:tcPr>
          <w:p w14:paraId="4FE042D8" w14:textId="77777777" w:rsidR="009C13C9" w:rsidRDefault="00000000">
            <w:pPr>
              <w:widowControl w:val="0"/>
              <w:spacing w:line="240" w:lineRule="auto"/>
              <w:jc w:val="center"/>
              <w:rPr>
                <w:rFonts w:ascii="Mali" w:eastAsia="Mali" w:hAnsi="Mali" w:cs="Mali"/>
                <w:b/>
                <w:sz w:val="34"/>
                <w:szCs w:val="34"/>
              </w:rPr>
            </w:pPr>
            <w:r>
              <w:rPr>
                <w:rFonts w:ascii="Mali" w:eastAsia="Mali" w:hAnsi="Mali" w:cs="Mali"/>
                <w:b/>
                <w:sz w:val="34"/>
                <w:szCs w:val="34"/>
              </w:rPr>
              <w:t>AOLE</w:t>
            </w:r>
          </w:p>
        </w:tc>
        <w:tc>
          <w:tcPr>
            <w:tcW w:w="2715" w:type="dxa"/>
            <w:shd w:val="clear" w:color="auto" w:fill="auto"/>
            <w:tcMar>
              <w:top w:w="100" w:type="dxa"/>
              <w:left w:w="100" w:type="dxa"/>
              <w:bottom w:w="100" w:type="dxa"/>
              <w:right w:w="100" w:type="dxa"/>
            </w:tcMar>
          </w:tcPr>
          <w:p w14:paraId="69714842" w14:textId="77777777" w:rsidR="009C13C9" w:rsidRDefault="00000000">
            <w:pPr>
              <w:widowControl w:val="0"/>
              <w:spacing w:line="240" w:lineRule="auto"/>
              <w:jc w:val="center"/>
              <w:rPr>
                <w:rFonts w:ascii="Mali" w:eastAsia="Mali" w:hAnsi="Mali" w:cs="Mali"/>
                <w:b/>
                <w:sz w:val="28"/>
                <w:szCs w:val="28"/>
              </w:rPr>
            </w:pPr>
            <w:r>
              <w:rPr>
                <w:rFonts w:ascii="Mali" w:eastAsia="Mali" w:hAnsi="Mali" w:cs="Mali"/>
                <w:b/>
                <w:sz w:val="28"/>
                <w:szCs w:val="28"/>
              </w:rPr>
              <w:t>STRAND</w:t>
            </w:r>
          </w:p>
        </w:tc>
        <w:tc>
          <w:tcPr>
            <w:tcW w:w="9165" w:type="dxa"/>
            <w:shd w:val="clear" w:color="auto" w:fill="auto"/>
            <w:tcMar>
              <w:top w:w="100" w:type="dxa"/>
              <w:left w:w="100" w:type="dxa"/>
              <w:bottom w:w="100" w:type="dxa"/>
              <w:right w:w="100" w:type="dxa"/>
            </w:tcMar>
          </w:tcPr>
          <w:p w14:paraId="39EE0C7B" w14:textId="77777777" w:rsidR="009C13C9" w:rsidRDefault="00000000">
            <w:pPr>
              <w:widowControl w:val="0"/>
              <w:spacing w:line="240" w:lineRule="auto"/>
              <w:jc w:val="center"/>
              <w:rPr>
                <w:rFonts w:ascii="Mali" w:eastAsia="Mali" w:hAnsi="Mali" w:cs="Mali"/>
                <w:b/>
                <w:sz w:val="34"/>
                <w:szCs w:val="34"/>
              </w:rPr>
            </w:pPr>
            <w:r>
              <w:rPr>
                <w:rFonts w:ascii="Mali" w:eastAsia="Mali" w:hAnsi="Mali" w:cs="Mali"/>
                <w:b/>
                <w:sz w:val="28"/>
                <w:szCs w:val="28"/>
              </w:rPr>
              <w:t>Suggested learning experiences</w:t>
            </w:r>
            <w:r>
              <w:rPr>
                <w:rFonts w:ascii="Mali" w:eastAsia="Mali" w:hAnsi="Mali" w:cs="Mali"/>
                <w:b/>
                <w:sz w:val="34"/>
                <w:szCs w:val="34"/>
              </w:rPr>
              <w:t>:</w:t>
            </w:r>
          </w:p>
        </w:tc>
      </w:tr>
      <w:tr w:rsidR="009C13C9" w14:paraId="380AA132" w14:textId="77777777">
        <w:trPr>
          <w:jc w:val="center"/>
        </w:trPr>
        <w:tc>
          <w:tcPr>
            <w:tcW w:w="2235" w:type="dxa"/>
            <w:shd w:val="clear" w:color="auto" w:fill="auto"/>
            <w:tcMar>
              <w:top w:w="100" w:type="dxa"/>
              <w:left w:w="100" w:type="dxa"/>
              <w:bottom w:w="100" w:type="dxa"/>
              <w:right w:w="100" w:type="dxa"/>
            </w:tcMar>
          </w:tcPr>
          <w:p w14:paraId="4625BA8E" w14:textId="77777777" w:rsidR="009C13C9" w:rsidRDefault="00000000">
            <w:pPr>
              <w:widowControl w:val="0"/>
              <w:spacing w:line="240" w:lineRule="auto"/>
              <w:jc w:val="center"/>
              <w:rPr>
                <w:rFonts w:ascii="Mali" w:eastAsia="Mali" w:hAnsi="Mali" w:cs="Mali"/>
                <w:b/>
                <w:sz w:val="32"/>
                <w:szCs w:val="32"/>
              </w:rPr>
            </w:pPr>
            <w:r>
              <w:rPr>
                <w:rFonts w:ascii="Mali" w:eastAsia="Mali" w:hAnsi="Mali" w:cs="Mali"/>
                <w:b/>
                <w:sz w:val="32"/>
                <w:szCs w:val="32"/>
              </w:rPr>
              <w:t>Health and Wellbeing</w:t>
            </w:r>
          </w:p>
          <w:p w14:paraId="3072A963" w14:textId="77777777" w:rsidR="009C13C9" w:rsidRDefault="009C13C9">
            <w:pPr>
              <w:widowControl w:val="0"/>
              <w:spacing w:line="240" w:lineRule="auto"/>
              <w:jc w:val="center"/>
              <w:rPr>
                <w:rFonts w:ascii="Mali" w:eastAsia="Mali" w:hAnsi="Mali" w:cs="Mali"/>
                <w:sz w:val="32"/>
                <w:szCs w:val="32"/>
              </w:rPr>
            </w:pPr>
          </w:p>
        </w:tc>
        <w:tc>
          <w:tcPr>
            <w:tcW w:w="2715" w:type="dxa"/>
            <w:shd w:val="clear" w:color="auto" w:fill="auto"/>
            <w:tcMar>
              <w:top w:w="100" w:type="dxa"/>
              <w:left w:w="100" w:type="dxa"/>
              <w:bottom w:w="100" w:type="dxa"/>
              <w:right w:w="100" w:type="dxa"/>
            </w:tcMar>
          </w:tcPr>
          <w:p w14:paraId="39D8FF9A" w14:textId="77777777" w:rsidR="009C13C9" w:rsidRDefault="00000000">
            <w:pPr>
              <w:widowControl w:val="0"/>
              <w:spacing w:line="240" w:lineRule="auto"/>
              <w:jc w:val="center"/>
              <w:rPr>
                <w:rFonts w:ascii="Mali" w:eastAsia="Mali" w:hAnsi="Mali" w:cs="Mali"/>
                <w:sz w:val="30"/>
                <w:szCs w:val="30"/>
              </w:rPr>
            </w:pPr>
            <w:r>
              <w:rPr>
                <w:rFonts w:ascii="Mali" w:eastAsia="Mali" w:hAnsi="Mali" w:cs="Mali"/>
                <w:sz w:val="30"/>
                <w:szCs w:val="30"/>
              </w:rPr>
              <w:t xml:space="preserve">Who / What is a young carer? </w:t>
            </w:r>
          </w:p>
        </w:tc>
        <w:tc>
          <w:tcPr>
            <w:tcW w:w="9165" w:type="dxa"/>
            <w:shd w:val="clear" w:color="auto" w:fill="auto"/>
            <w:tcMar>
              <w:top w:w="100" w:type="dxa"/>
              <w:left w:w="100" w:type="dxa"/>
              <w:bottom w:w="100" w:type="dxa"/>
              <w:right w:w="100" w:type="dxa"/>
            </w:tcMar>
          </w:tcPr>
          <w:p w14:paraId="54D2791B" w14:textId="77777777" w:rsidR="009C13C9" w:rsidRDefault="00000000">
            <w:pPr>
              <w:widowControl w:val="0"/>
              <w:numPr>
                <w:ilvl w:val="0"/>
                <w:numId w:val="2"/>
              </w:numPr>
              <w:spacing w:line="240" w:lineRule="auto"/>
              <w:rPr>
                <w:rFonts w:ascii="Mali" w:eastAsia="Mali" w:hAnsi="Mali" w:cs="Mali"/>
                <w:sz w:val="24"/>
                <w:szCs w:val="24"/>
              </w:rPr>
            </w:pPr>
            <w:r>
              <w:rPr>
                <w:rFonts w:ascii="Mali" w:eastAsia="Mali" w:hAnsi="Mali" w:cs="Mali"/>
                <w:sz w:val="24"/>
                <w:szCs w:val="24"/>
              </w:rPr>
              <w:t>Many local authority websites have videos / animations that explain what a young carer is and everything they have to do. The accompanying sheet gives links to each Young Carers county website.</w:t>
            </w:r>
          </w:p>
          <w:p w14:paraId="297CE98F" w14:textId="77777777" w:rsidR="009C13C9" w:rsidRDefault="00000000">
            <w:pPr>
              <w:widowControl w:val="0"/>
              <w:numPr>
                <w:ilvl w:val="0"/>
                <w:numId w:val="2"/>
              </w:numPr>
              <w:spacing w:line="240" w:lineRule="auto"/>
              <w:rPr>
                <w:rFonts w:ascii="Mali" w:eastAsia="Mali" w:hAnsi="Mali" w:cs="Mali"/>
                <w:sz w:val="24"/>
                <w:szCs w:val="24"/>
              </w:rPr>
            </w:pPr>
            <w:r>
              <w:rPr>
                <w:rFonts w:ascii="Mali" w:eastAsia="Mali" w:hAnsi="Mali" w:cs="Mali"/>
                <w:sz w:val="24"/>
                <w:szCs w:val="24"/>
              </w:rPr>
              <w:t>Swansea young carers are based at the YMCA and are keen to visit schools. Just get in contact via the website. They emphasise the need to train staff as well as young people</w:t>
            </w:r>
          </w:p>
          <w:p w14:paraId="3818EA3E" w14:textId="77777777" w:rsidR="009C13C9" w:rsidRDefault="00000000">
            <w:pPr>
              <w:widowControl w:val="0"/>
              <w:spacing w:line="240" w:lineRule="auto"/>
              <w:rPr>
                <w:rFonts w:ascii="Mali" w:eastAsia="Mali" w:hAnsi="Mali" w:cs="Mali"/>
                <w:sz w:val="24"/>
                <w:szCs w:val="24"/>
              </w:rPr>
            </w:pPr>
            <w:r>
              <w:rPr>
                <w:rFonts w:ascii="Mali" w:eastAsia="Mali" w:hAnsi="Mali" w:cs="Mali"/>
                <w:sz w:val="24"/>
                <w:szCs w:val="24"/>
              </w:rPr>
              <w:t xml:space="preserve">Video - </w:t>
            </w:r>
            <w:hyperlink r:id="rId5">
              <w:r w:rsidR="009C13C9">
                <w:rPr>
                  <w:rFonts w:ascii="Mali" w:eastAsia="Mali" w:hAnsi="Mali" w:cs="Mali"/>
                  <w:color w:val="1155CC"/>
                  <w:sz w:val="24"/>
                  <w:szCs w:val="24"/>
                  <w:u w:val="single"/>
                </w:rPr>
                <w:t>Merthyr</w:t>
              </w:r>
            </w:hyperlink>
            <w:r>
              <w:rPr>
                <w:rFonts w:ascii="Mali" w:eastAsia="Mali" w:hAnsi="Mali" w:cs="Mali"/>
                <w:sz w:val="24"/>
                <w:szCs w:val="24"/>
              </w:rPr>
              <w:t xml:space="preserve">, Swansea </w:t>
            </w:r>
          </w:p>
          <w:p w14:paraId="2EDF1774" w14:textId="77777777" w:rsidR="009C13C9" w:rsidRDefault="00000000">
            <w:pPr>
              <w:widowControl w:val="0"/>
              <w:numPr>
                <w:ilvl w:val="0"/>
                <w:numId w:val="8"/>
              </w:numPr>
              <w:spacing w:line="240" w:lineRule="auto"/>
              <w:rPr>
                <w:rFonts w:ascii="Mali" w:eastAsia="Mali" w:hAnsi="Mali" w:cs="Mali"/>
                <w:sz w:val="24"/>
                <w:szCs w:val="24"/>
              </w:rPr>
            </w:pPr>
            <w:r>
              <w:rPr>
                <w:rFonts w:ascii="Mali" w:eastAsia="Mali" w:hAnsi="Mali" w:cs="Mali"/>
                <w:sz w:val="24"/>
                <w:szCs w:val="24"/>
              </w:rPr>
              <w:t xml:space="preserve">You could explore the experiences of a young carer through story mapping - read a short story or watch a short film that outlines the work of a young carer and all the extra responsibilities (refer to Emmie from the show). </w:t>
            </w:r>
          </w:p>
          <w:p w14:paraId="3F938931" w14:textId="77777777" w:rsidR="009C13C9" w:rsidRDefault="00000000">
            <w:pPr>
              <w:widowControl w:val="0"/>
              <w:numPr>
                <w:ilvl w:val="0"/>
                <w:numId w:val="8"/>
              </w:numPr>
              <w:spacing w:line="240" w:lineRule="auto"/>
              <w:rPr>
                <w:rFonts w:ascii="Mali" w:eastAsia="Mali" w:hAnsi="Mali" w:cs="Mali"/>
                <w:sz w:val="24"/>
                <w:szCs w:val="24"/>
              </w:rPr>
            </w:pPr>
            <w:r>
              <w:rPr>
                <w:rFonts w:ascii="Mali" w:eastAsia="Mali" w:hAnsi="Mali" w:cs="Mali"/>
                <w:sz w:val="24"/>
                <w:szCs w:val="24"/>
              </w:rPr>
              <w:t xml:space="preserve">You could create a visual story map that highlights the main elements, emotions, and challenges faced by the young person. </w:t>
            </w:r>
          </w:p>
          <w:p w14:paraId="00D64B12" w14:textId="780CCE26" w:rsidR="009C13C9" w:rsidRPr="00363582" w:rsidRDefault="009C13C9" w:rsidP="00363582">
            <w:pPr>
              <w:widowControl w:val="0"/>
              <w:numPr>
                <w:ilvl w:val="0"/>
                <w:numId w:val="8"/>
              </w:numPr>
              <w:spacing w:line="240" w:lineRule="auto"/>
              <w:rPr>
                <w:rFonts w:ascii="Mali" w:eastAsia="Mali" w:hAnsi="Mali" w:cs="Mali"/>
                <w:sz w:val="24"/>
                <w:szCs w:val="24"/>
              </w:rPr>
            </w:pPr>
            <w:hyperlink r:id="rId6">
              <w:r>
                <w:rPr>
                  <w:rFonts w:ascii="Mali" w:eastAsia="Mali" w:hAnsi="Mali" w:cs="Mali"/>
                  <w:color w:val="1155CC"/>
                  <w:sz w:val="24"/>
                  <w:szCs w:val="24"/>
                  <w:u w:val="single"/>
                </w:rPr>
                <w:t>Carers Trust website</w:t>
              </w:r>
            </w:hyperlink>
            <w:r w:rsidR="00000000">
              <w:rPr>
                <w:rFonts w:ascii="Mali" w:eastAsia="Mali" w:hAnsi="Mali" w:cs="Mali"/>
                <w:sz w:val="24"/>
                <w:szCs w:val="24"/>
              </w:rPr>
              <w:t xml:space="preserve"> </w:t>
            </w:r>
          </w:p>
        </w:tc>
      </w:tr>
      <w:tr w:rsidR="009C13C9" w14:paraId="616883E4" w14:textId="77777777">
        <w:trPr>
          <w:jc w:val="center"/>
        </w:trPr>
        <w:tc>
          <w:tcPr>
            <w:tcW w:w="2235" w:type="dxa"/>
            <w:shd w:val="clear" w:color="auto" w:fill="auto"/>
            <w:tcMar>
              <w:top w:w="100" w:type="dxa"/>
              <w:left w:w="100" w:type="dxa"/>
              <w:bottom w:w="100" w:type="dxa"/>
              <w:right w:w="100" w:type="dxa"/>
            </w:tcMar>
          </w:tcPr>
          <w:p w14:paraId="0AD6C2BA" w14:textId="77777777" w:rsidR="009C13C9" w:rsidRDefault="00000000">
            <w:pPr>
              <w:widowControl w:val="0"/>
              <w:spacing w:line="240" w:lineRule="auto"/>
              <w:jc w:val="center"/>
              <w:rPr>
                <w:rFonts w:ascii="Mali" w:eastAsia="Mali" w:hAnsi="Mali" w:cs="Mali"/>
                <w:b/>
                <w:sz w:val="32"/>
                <w:szCs w:val="32"/>
              </w:rPr>
            </w:pPr>
            <w:r>
              <w:rPr>
                <w:rFonts w:ascii="Mali" w:eastAsia="Mali" w:hAnsi="Mali" w:cs="Mali"/>
                <w:b/>
                <w:sz w:val="32"/>
                <w:szCs w:val="32"/>
              </w:rPr>
              <w:t>Health and Wellbeing</w:t>
            </w:r>
          </w:p>
          <w:p w14:paraId="6BF9040D" w14:textId="77777777" w:rsidR="009C13C9" w:rsidRDefault="009C13C9">
            <w:pPr>
              <w:widowControl w:val="0"/>
              <w:spacing w:line="240" w:lineRule="auto"/>
              <w:jc w:val="center"/>
              <w:rPr>
                <w:rFonts w:ascii="Mali" w:eastAsia="Mali" w:hAnsi="Mali" w:cs="Mali"/>
                <w:sz w:val="32"/>
                <w:szCs w:val="32"/>
              </w:rPr>
            </w:pPr>
          </w:p>
        </w:tc>
        <w:tc>
          <w:tcPr>
            <w:tcW w:w="2715" w:type="dxa"/>
            <w:shd w:val="clear" w:color="auto" w:fill="auto"/>
            <w:tcMar>
              <w:top w:w="100" w:type="dxa"/>
              <w:left w:w="100" w:type="dxa"/>
              <w:bottom w:w="100" w:type="dxa"/>
              <w:right w:w="100" w:type="dxa"/>
            </w:tcMar>
          </w:tcPr>
          <w:p w14:paraId="4B1D668D" w14:textId="77777777" w:rsidR="009C13C9" w:rsidRDefault="00000000">
            <w:pPr>
              <w:widowControl w:val="0"/>
              <w:spacing w:line="240" w:lineRule="auto"/>
              <w:jc w:val="center"/>
              <w:rPr>
                <w:rFonts w:ascii="Mali" w:eastAsia="Mali" w:hAnsi="Mali" w:cs="Mali"/>
                <w:sz w:val="30"/>
                <w:szCs w:val="30"/>
              </w:rPr>
            </w:pPr>
            <w:r>
              <w:rPr>
                <w:rFonts w:ascii="Mali" w:eastAsia="Mali" w:hAnsi="Mali" w:cs="Mali"/>
                <w:sz w:val="30"/>
                <w:szCs w:val="30"/>
              </w:rPr>
              <w:t xml:space="preserve">Rights of the Child </w:t>
            </w:r>
          </w:p>
        </w:tc>
        <w:tc>
          <w:tcPr>
            <w:tcW w:w="9165" w:type="dxa"/>
            <w:shd w:val="clear" w:color="auto" w:fill="auto"/>
            <w:tcMar>
              <w:top w:w="100" w:type="dxa"/>
              <w:left w:w="100" w:type="dxa"/>
              <w:bottom w:w="100" w:type="dxa"/>
              <w:right w:w="100" w:type="dxa"/>
            </w:tcMar>
          </w:tcPr>
          <w:p w14:paraId="41F4046B"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It is important that children understand the role of a young carer before this activity. </w:t>
            </w:r>
          </w:p>
          <w:p w14:paraId="495A4481" w14:textId="77777777" w:rsidR="009C13C9" w:rsidRDefault="00000000">
            <w:pPr>
              <w:widowControl w:val="0"/>
              <w:numPr>
                <w:ilvl w:val="0"/>
                <w:numId w:val="9"/>
              </w:numPr>
              <w:spacing w:line="240" w:lineRule="auto"/>
              <w:jc w:val="center"/>
              <w:rPr>
                <w:rFonts w:ascii="Mali" w:eastAsia="Mali" w:hAnsi="Mali" w:cs="Mali"/>
              </w:rPr>
            </w:pPr>
            <w:r>
              <w:rPr>
                <w:rFonts w:ascii="Mali" w:eastAsia="Mali" w:hAnsi="Mali" w:cs="Mali"/>
                <w:sz w:val="24"/>
                <w:szCs w:val="24"/>
              </w:rPr>
              <w:t>How do we protect the rights of children who are carers themselves?</w:t>
            </w:r>
            <w:r>
              <w:rPr>
                <w:rFonts w:ascii="Mali" w:eastAsia="Mali" w:hAnsi="Mali" w:cs="Mali"/>
                <w:sz w:val="32"/>
                <w:szCs w:val="32"/>
              </w:rPr>
              <w:t xml:space="preserve"> </w:t>
            </w:r>
          </w:p>
          <w:p w14:paraId="2702D538" w14:textId="77777777" w:rsidR="009C13C9" w:rsidRDefault="00000000">
            <w:pPr>
              <w:widowControl w:val="0"/>
              <w:numPr>
                <w:ilvl w:val="0"/>
                <w:numId w:val="9"/>
              </w:numPr>
              <w:spacing w:line="240" w:lineRule="auto"/>
              <w:rPr>
                <w:rFonts w:ascii="Mali" w:eastAsia="Mali" w:hAnsi="Mali" w:cs="Mali"/>
              </w:rPr>
            </w:pPr>
            <w:r>
              <w:rPr>
                <w:rFonts w:ascii="Mali" w:eastAsia="Mali" w:hAnsi="Mali" w:cs="Mali"/>
                <w:b/>
                <w:sz w:val="24"/>
                <w:szCs w:val="24"/>
              </w:rPr>
              <w:t>What is the UNCRC?</w:t>
            </w:r>
            <w:hyperlink r:id="rId7">
              <w:r w:rsidR="009C13C9">
                <w:rPr>
                  <w:rFonts w:ascii="Mali" w:eastAsia="Mali" w:hAnsi="Mali" w:cs="Mali"/>
                  <w:color w:val="1155CC"/>
                  <w:sz w:val="24"/>
                  <w:szCs w:val="24"/>
                  <w:u w:val="single"/>
                </w:rPr>
                <w:t xml:space="preserve"> </w:t>
              </w:r>
            </w:hyperlink>
            <w:hyperlink r:id="rId8">
              <w:r w:rsidR="009C13C9">
                <w:rPr>
                  <w:rFonts w:ascii="Mali" w:eastAsia="Mali" w:hAnsi="Mali" w:cs="Mali"/>
                  <w:color w:val="1155CC"/>
                  <w:sz w:val="26"/>
                  <w:szCs w:val="26"/>
                  <w:highlight w:val="white"/>
                  <w:u w:val="single"/>
                </w:rPr>
                <w:t xml:space="preserve">Children's Commissioner for Wales - rights </w:t>
              </w:r>
              <w:r w:rsidR="009C13C9">
                <w:rPr>
                  <w:rFonts w:ascii="Mali" w:eastAsia="Mali" w:hAnsi="Mali" w:cs="Mali"/>
                  <w:color w:val="1155CC"/>
                  <w:sz w:val="26"/>
                  <w:szCs w:val="26"/>
                  <w:highlight w:val="white"/>
                  <w:u w:val="single"/>
                </w:rPr>
                <w:lastRenderedPageBreak/>
                <w:t xml:space="preserve">poster </w:t>
              </w:r>
            </w:hyperlink>
          </w:p>
          <w:p w14:paraId="32BA7C58" w14:textId="5BA16C22"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Do children know about their rights? Why do we have rights? Why are they important?</w:t>
            </w:r>
          </w:p>
          <w:p w14:paraId="3740FBE2"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Can children find which rights/ articles link directly to young carers? </w:t>
            </w:r>
          </w:p>
          <w:p w14:paraId="530BE49E"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b/>
                <w:sz w:val="24"/>
                <w:szCs w:val="24"/>
              </w:rPr>
              <w:t>Discuss</w:t>
            </w:r>
            <w:r>
              <w:rPr>
                <w:rFonts w:ascii="Mali" w:eastAsia="Mali" w:hAnsi="Mali" w:cs="Mali"/>
                <w:sz w:val="24"/>
                <w:szCs w:val="24"/>
              </w:rPr>
              <w:t>: How might these rights be affected for children who are young carers?</w:t>
            </w:r>
          </w:p>
          <w:p w14:paraId="0A4E613C" w14:textId="5ABE2D11"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 Pupils could think about how being a young carer may make it harder to enjoy that right.</w:t>
            </w:r>
          </w:p>
          <w:p w14:paraId="7BF4FA7C"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You could think about what to say to the Commissioner to raise awareness of young carers and ensure their rights are protected. </w:t>
            </w:r>
          </w:p>
          <w:p w14:paraId="003A5007"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How can we make sure the voices of young carers are heard in school?</w:t>
            </w:r>
          </w:p>
          <w:p w14:paraId="581CBC16"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Why is it important for us, as children, to speak up for each other?</w:t>
            </w:r>
          </w:p>
        </w:tc>
      </w:tr>
      <w:tr w:rsidR="009C13C9" w14:paraId="7CC0A89C" w14:textId="77777777">
        <w:trPr>
          <w:jc w:val="center"/>
        </w:trPr>
        <w:tc>
          <w:tcPr>
            <w:tcW w:w="2235" w:type="dxa"/>
            <w:shd w:val="clear" w:color="auto" w:fill="auto"/>
            <w:tcMar>
              <w:top w:w="100" w:type="dxa"/>
              <w:left w:w="100" w:type="dxa"/>
              <w:bottom w:w="100" w:type="dxa"/>
              <w:right w:w="100" w:type="dxa"/>
            </w:tcMar>
          </w:tcPr>
          <w:p w14:paraId="78C48382" w14:textId="77777777" w:rsidR="009C13C9" w:rsidRDefault="00000000">
            <w:pPr>
              <w:widowControl w:val="0"/>
              <w:spacing w:line="240" w:lineRule="auto"/>
              <w:jc w:val="center"/>
              <w:rPr>
                <w:rFonts w:ascii="Mali" w:eastAsia="Mali" w:hAnsi="Mali" w:cs="Mali"/>
                <w:sz w:val="32"/>
                <w:szCs w:val="32"/>
              </w:rPr>
            </w:pPr>
            <w:r>
              <w:rPr>
                <w:rFonts w:ascii="Mali" w:eastAsia="Mali" w:hAnsi="Mali" w:cs="Mali"/>
                <w:sz w:val="32"/>
                <w:szCs w:val="32"/>
              </w:rPr>
              <w:lastRenderedPageBreak/>
              <w:t xml:space="preserve">RSE </w:t>
            </w:r>
          </w:p>
          <w:p w14:paraId="25F6173A" w14:textId="77777777" w:rsidR="009C13C9" w:rsidRDefault="00000000">
            <w:pPr>
              <w:widowControl w:val="0"/>
              <w:spacing w:line="240" w:lineRule="auto"/>
              <w:jc w:val="center"/>
              <w:rPr>
                <w:rFonts w:ascii="Mali" w:eastAsia="Mali" w:hAnsi="Mali" w:cs="Mali"/>
                <w:b/>
                <w:sz w:val="42"/>
                <w:szCs w:val="42"/>
              </w:rPr>
            </w:pPr>
            <w:r>
              <w:rPr>
                <w:rFonts w:ascii="Mali" w:eastAsia="Mali" w:hAnsi="Mali" w:cs="Mali"/>
                <w:sz w:val="32"/>
                <w:szCs w:val="32"/>
              </w:rPr>
              <w:t>Health and Wellbeing</w:t>
            </w:r>
            <w:r>
              <w:rPr>
                <w:rFonts w:ascii="Mali" w:eastAsia="Mali" w:hAnsi="Mali" w:cs="Mali"/>
                <w:b/>
                <w:sz w:val="42"/>
                <w:szCs w:val="42"/>
              </w:rPr>
              <w:t xml:space="preserve"> </w:t>
            </w:r>
          </w:p>
        </w:tc>
        <w:tc>
          <w:tcPr>
            <w:tcW w:w="2715" w:type="dxa"/>
            <w:shd w:val="clear" w:color="auto" w:fill="auto"/>
            <w:tcMar>
              <w:top w:w="100" w:type="dxa"/>
              <w:left w:w="100" w:type="dxa"/>
              <w:bottom w:w="100" w:type="dxa"/>
              <w:right w:w="100" w:type="dxa"/>
            </w:tcMar>
          </w:tcPr>
          <w:p w14:paraId="6CE5CF6E" w14:textId="77777777" w:rsidR="009C13C9" w:rsidRDefault="00000000">
            <w:pPr>
              <w:widowControl w:val="0"/>
              <w:spacing w:line="240" w:lineRule="auto"/>
              <w:jc w:val="center"/>
              <w:rPr>
                <w:rFonts w:ascii="Mali" w:eastAsia="Mali" w:hAnsi="Mali" w:cs="Mali"/>
                <w:sz w:val="30"/>
                <w:szCs w:val="30"/>
              </w:rPr>
            </w:pPr>
            <w:r>
              <w:rPr>
                <w:rFonts w:ascii="Mali" w:eastAsia="Mali" w:hAnsi="Mali" w:cs="Mali"/>
                <w:sz w:val="30"/>
                <w:szCs w:val="30"/>
              </w:rPr>
              <w:t xml:space="preserve">Families in all shapes and sizes </w:t>
            </w:r>
          </w:p>
        </w:tc>
        <w:tc>
          <w:tcPr>
            <w:tcW w:w="9165" w:type="dxa"/>
            <w:shd w:val="clear" w:color="auto" w:fill="auto"/>
            <w:tcMar>
              <w:top w:w="100" w:type="dxa"/>
              <w:left w:w="100" w:type="dxa"/>
              <w:bottom w:w="100" w:type="dxa"/>
              <w:right w:w="100" w:type="dxa"/>
            </w:tcMar>
          </w:tcPr>
          <w:p w14:paraId="4753941D" w14:textId="77777777" w:rsidR="009C13C9" w:rsidRDefault="00000000">
            <w:pPr>
              <w:widowControl w:val="0"/>
              <w:numPr>
                <w:ilvl w:val="0"/>
                <w:numId w:val="3"/>
              </w:numPr>
              <w:spacing w:line="240" w:lineRule="auto"/>
              <w:rPr>
                <w:rFonts w:ascii="Mali" w:eastAsia="Mali" w:hAnsi="Mali" w:cs="Mali"/>
                <w:sz w:val="20"/>
                <w:szCs w:val="20"/>
              </w:rPr>
            </w:pPr>
            <w:r>
              <w:rPr>
                <w:rFonts w:ascii="Mali" w:eastAsia="Mali" w:hAnsi="Mali" w:cs="Mali"/>
                <w:sz w:val="24"/>
                <w:szCs w:val="24"/>
              </w:rPr>
              <w:t>Children should understand that every family can look different to each other and we must respect that</w:t>
            </w:r>
          </w:p>
          <w:p w14:paraId="6C65FE9D"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Discuss: What makes a family? Who can be in a family? What do families do for each other?</w:t>
            </w:r>
          </w:p>
          <w:p w14:paraId="1FE5C453"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Discuss: different family structures (same-sex parents, blended families</w:t>
            </w:r>
          </w:p>
          <w:p w14:paraId="4CA95E39"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 xml:space="preserve">How is Emmie’s family structure different / similar to theirs? </w:t>
            </w:r>
          </w:p>
          <w:p w14:paraId="189081C8"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b/>
                <w:sz w:val="24"/>
                <w:szCs w:val="24"/>
              </w:rPr>
              <w:t>Some activities:</w:t>
            </w:r>
            <w:r>
              <w:rPr>
                <w:rFonts w:ascii="Mali" w:eastAsia="Mali" w:hAnsi="Mali" w:cs="Mali"/>
                <w:sz w:val="24"/>
                <w:szCs w:val="24"/>
              </w:rPr>
              <w:t xml:space="preserve"> describe their own family, create a family tree, read a variety of picture books - what families can look like</w:t>
            </w:r>
          </w:p>
          <w:p w14:paraId="7ACF9DA9"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Values within a family setting ​​- love, kind, support, understanding, respect...</w:t>
            </w:r>
          </w:p>
          <w:p w14:paraId="09E04B97"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 xml:space="preserve">You could explore through picture books to highlight family diversity </w:t>
            </w:r>
          </w:p>
        </w:tc>
      </w:tr>
    </w:tbl>
    <w:p w14:paraId="6ED4964C" w14:textId="77777777" w:rsidR="00CA5ECB" w:rsidRPr="00CA5ECB" w:rsidRDefault="00CA5ECB" w:rsidP="00CA5ECB"/>
    <w:sectPr w:rsidR="00CA5ECB" w:rsidRPr="00CA5ECB">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53A7F74-2712-C349-877B-CE09EB78D1CB}"/>
  </w:font>
  <w:font w:name="Arial">
    <w:panose1 w:val="020B0604020202020204"/>
    <w:charset w:val="00"/>
    <w:family w:val="swiss"/>
    <w:pitch w:val="variable"/>
    <w:sig w:usb0="E0002AFF" w:usb1="C0007843" w:usb2="00000009" w:usb3="00000000" w:csb0="000001FF" w:csb1="00000000"/>
    <w:embedRegular r:id="rId2" w:fontKey="{CE85C4BC-E315-004F-B5B9-8270C2C498A7}"/>
    <w:embedItalic r:id="rId3" w:fontKey="{86F406F9-6A1C-3F42-A530-7BE8109E12D0}"/>
  </w:font>
  <w:font w:name="Mali">
    <w:panose1 w:val="00000500000000000000"/>
    <w:charset w:val="DE"/>
    <w:family w:val="auto"/>
    <w:pitch w:val="variable"/>
    <w:sig w:usb0="21000007" w:usb1="00000001" w:usb2="00000000" w:usb3="00000000" w:csb0="00010193" w:csb1="00000000"/>
    <w:embedRegular r:id="rId4" w:fontKey="{9611EBF5-BFB3-2C42-B161-C6100BDD2651}"/>
    <w:embedBold r:id="rId5" w:fontKey="{B0106B8F-2BC3-D548-974E-AED24724AB02}"/>
  </w:font>
  <w:font w:name="Calibri">
    <w:panose1 w:val="020F0502020204030204"/>
    <w:charset w:val="00"/>
    <w:family w:val="swiss"/>
    <w:pitch w:val="variable"/>
    <w:sig w:usb0="E4002EFF" w:usb1="C000247B" w:usb2="00000009" w:usb3="00000000" w:csb0="000001FF" w:csb1="00000000"/>
    <w:embedRegular r:id="rId6" w:fontKey="{91FDAAC5-311C-594C-A87F-FD374E790020}"/>
  </w:font>
  <w:font w:name="Cambria">
    <w:panose1 w:val="02040503050406030204"/>
    <w:charset w:val="00"/>
    <w:family w:val="roman"/>
    <w:pitch w:val="variable"/>
    <w:sig w:usb0="E00002FF" w:usb1="400004FF" w:usb2="00000000" w:usb3="00000000" w:csb0="0000019F" w:csb1="00000000"/>
    <w:embedRegular r:id="rId7" w:fontKey="{B52337E2-AB58-C84F-B1E4-8F09E1D419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53E4"/>
    <w:multiLevelType w:val="multilevel"/>
    <w:tmpl w:val="3678F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F12F8"/>
    <w:multiLevelType w:val="multilevel"/>
    <w:tmpl w:val="F1C6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D7511"/>
    <w:multiLevelType w:val="multilevel"/>
    <w:tmpl w:val="D0665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1560B2"/>
    <w:multiLevelType w:val="multilevel"/>
    <w:tmpl w:val="D5665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114DAB"/>
    <w:multiLevelType w:val="multilevel"/>
    <w:tmpl w:val="A0544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645D9C"/>
    <w:multiLevelType w:val="multilevel"/>
    <w:tmpl w:val="EF08A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7F261E"/>
    <w:multiLevelType w:val="multilevel"/>
    <w:tmpl w:val="139ED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18558A"/>
    <w:multiLevelType w:val="multilevel"/>
    <w:tmpl w:val="B00E7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E960D9"/>
    <w:multiLevelType w:val="multilevel"/>
    <w:tmpl w:val="5B94B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9422047">
    <w:abstractNumId w:val="6"/>
  </w:num>
  <w:num w:numId="2" w16cid:durableId="1820416002">
    <w:abstractNumId w:val="2"/>
  </w:num>
  <w:num w:numId="3" w16cid:durableId="2022315626">
    <w:abstractNumId w:val="1"/>
  </w:num>
  <w:num w:numId="4" w16cid:durableId="1933200688">
    <w:abstractNumId w:val="8"/>
  </w:num>
  <w:num w:numId="5" w16cid:durableId="310528910">
    <w:abstractNumId w:val="4"/>
  </w:num>
  <w:num w:numId="6" w16cid:durableId="112941744">
    <w:abstractNumId w:val="5"/>
  </w:num>
  <w:num w:numId="7" w16cid:durableId="1690595994">
    <w:abstractNumId w:val="3"/>
  </w:num>
  <w:num w:numId="8" w16cid:durableId="1730031633">
    <w:abstractNumId w:val="7"/>
  </w:num>
  <w:num w:numId="9" w16cid:durableId="968510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3C9"/>
    <w:rsid w:val="00363582"/>
    <w:rsid w:val="008B39AB"/>
    <w:rsid w:val="009C13C9"/>
    <w:rsid w:val="00C94A0D"/>
    <w:rsid w:val="00CA5ECB"/>
    <w:rsid w:val="00EC7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F23F6B"/>
  <w15:docId w15:val="{E5A35A68-D5F2-654F-AFF8-265D06FF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ildcomwales.org.uk/right-of-the-month/" TargetMode="External"/><Relationship Id="rId3" Type="http://schemas.openxmlformats.org/officeDocument/2006/relationships/settings" Target="settings.xml"/><Relationship Id="rId7" Type="http://schemas.openxmlformats.org/officeDocument/2006/relationships/hyperlink" Target="https://www.childcomwales.org.uk/right-of-the-mon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rers.org/young-carers-and-education/young-carers-and-education" TargetMode="External"/><Relationship Id="rId5" Type="http://schemas.openxmlformats.org/officeDocument/2006/relationships/hyperlink" Target="https://youtu.be/foJn0vBb7X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409</Words>
  <Characters>2332</Characters>
  <Application>Microsoft Office Word</Application>
  <DocSecurity>0</DocSecurity>
  <Lines>19</Lines>
  <Paragraphs>5</Paragraphs>
  <ScaleCrop>false</ScaleCrop>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4</cp:revision>
  <dcterms:created xsi:type="dcterms:W3CDTF">2025-07-02T09:49:00Z</dcterms:created>
  <dcterms:modified xsi:type="dcterms:W3CDTF">2025-07-08T14:32:00Z</dcterms:modified>
</cp:coreProperties>
</file>